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003F4AA7"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r w:rsidR="007A07A4">
        <w:rPr>
          <w:sz w:val="20"/>
        </w:rPr>
        <w:t>maintenance,</w:t>
      </w:r>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1DBB68C2"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077CCF">
        <w:rPr>
          <w:sz w:val="20"/>
        </w:rPr>
        <w:t>#412 as manufactured by Panel Specialists inc. A non-progressive panel system with an exposed channel divider molding creating a 1in. (25 mm) horizontal and vertical reveal between panels. The ½” wide recessed channel in the molding center can accept flush or concave snap in inserts or decorative strips of HPL or veneer. Recommended for vertical and horizontal interior installations. Maximum panel length for horizontal installations is 96 inches (2438mm)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3ED4BBE5" w14:textId="5B9464DA" w:rsidR="00060513" w:rsidRPr="00A8662B" w:rsidRDefault="0010750A" w:rsidP="00AC2228">
      <w:pPr>
        <w:pStyle w:val="ARCATSubPara"/>
        <w:numPr>
          <w:ilvl w:val="3"/>
          <w:numId w:val="1"/>
        </w:numPr>
        <w:ind w:left="1728" w:hanging="576"/>
        <w:rPr>
          <w:sz w:val="20"/>
        </w:rPr>
      </w:pPr>
      <w:r w:rsidRPr="00A8662B">
        <w:rPr>
          <w:sz w:val="20"/>
        </w:rPr>
        <w:tab/>
      </w:r>
      <w:r w:rsidR="00060513" w:rsidRPr="00A8662B">
        <w:rPr>
          <w:sz w:val="20"/>
        </w:rPr>
        <w:t>Horizontal</w:t>
      </w:r>
      <w:r w:rsidR="00A8662B" w:rsidRPr="00A8662B">
        <w:rPr>
          <w:sz w:val="20"/>
        </w:rPr>
        <w:t xml:space="preserve"> and Vertical Reveals: System to provide a</w:t>
      </w:r>
      <w:r w:rsidR="00E324E1">
        <w:rPr>
          <w:sz w:val="20"/>
        </w:rPr>
        <w:t xml:space="preserve"> 1</w:t>
      </w:r>
      <w:r w:rsidR="00A8662B" w:rsidRPr="00A8662B">
        <w:rPr>
          <w:sz w:val="20"/>
        </w:rPr>
        <w:t xml:space="preserve"> in. (</w:t>
      </w:r>
      <w:r w:rsidR="00E324E1">
        <w:rPr>
          <w:sz w:val="20"/>
        </w:rPr>
        <w:t>25</w:t>
      </w:r>
      <w:r w:rsidR="00A8662B" w:rsidRPr="00A8662B">
        <w:rPr>
          <w:sz w:val="20"/>
        </w:rPr>
        <w:t>mm) exposed molding covering the edges of the panels.</w:t>
      </w:r>
    </w:p>
    <w:p w14:paraId="02390CFF" w14:textId="3B32E98E"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7214EA">
        <w:rPr>
          <w:sz w:val="20"/>
        </w:rPr>
        <w:t>un</w:t>
      </w:r>
      <w:r w:rsidR="007214EA" w:rsidRPr="00144F2F">
        <w:rPr>
          <w:sz w:val="20"/>
        </w:rPr>
        <w:t>finished</w:t>
      </w:r>
      <w:r w:rsidR="007214EA">
        <w:rPr>
          <w:sz w:val="20"/>
        </w:rPr>
        <w:t>.</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lastRenderedPageBreak/>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742396DF" w:rsidR="0010750A" w:rsidRDefault="002F0CDB" w:rsidP="00357359">
      <w:pPr>
        <w:pStyle w:val="ARCATSubSub1"/>
        <w:numPr>
          <w:ilvl w:val="0"/>
          <w:numId w:val="11"/>
        </w:numPr>
        <w:rPr>
          <w:sz w:val="20"/>
        </w:rPr>
      </w:pPr>
      <w:r w:rsidRPr="00144F2F">
        <w:rPr>
          <w:sz w:val="20"/>
        </w:rPr>
        <w:t>#</w:t>
      </w:r>
      <w:r w:rsidR="00A8662B">
        <w:rPr>
          <w:sz w:val="20"/>
        </w:rPr>
        <w:t>41</w:t>
      </w:r>
      <w:r w:rsidR="00E324E1">
        <w:rPr>
          <w:sz w:val="20"/>
        </w:rPr>
        <w:t>2 1” wide Divider Molding with a ½” recessed center channel to accommodate and insert.</w:t>
      </w:r>
      <w:r w:rsidR="00A8662B">
        <w:rPr>
          <w:sz w:val="20"/>
        </w:rPr>
        <w:t xml:space="preserve"> </w:t>
      </w:r>
    </w:p>
    <w:p w14:paraId="09D8A16B" w14:textId="34064599" w:rsidR="00357359" w:rsidRDefault="00E324E1" w:rsidP="00357359">
      <w:pPr>
        <w:pStyle w:val="ARCATSubSub1"/>
        <w:numPr>
          <w:ilvl w:val="0"/>
          <w:numId w:val="11"/>
        </w:numPr>
        <w:rPr>
          <w:sz w:val="20"/>
        </w:rPr>
      </w:pPr>
      <w:r w:rsidRPr="00E324E1">
        <w:rPr>
          <w:sz w:val="20"/>
        </w:rPr>
        <w:t>#412 RI Flat Reveal Insert</w:t>
      </w:r>
      <w:r>
        <w:rPr>
          <w:sz w:val="20"/>
        </w:rPr>
        <w:t xml:space="preserve"> </w:t>
      </w:r>
      <w:r>
        <w:rPr>
          <w:color w:val="FFC000"/>
          <w:sz w:val="20"/>
        </w:rPr>
        <w:t>(</w:t>
      </w:r>
      <w:r>
        <w:rPr>
          <w:color w:val="FF0000"/>
          <w:sz w:val="20"/>
        </w:rPr>
        <w:t>C</w:t>
      </w:r>
      <w:r w:rsidR="00A8662B" w:rsidRPr="00A8662B">
        <w:rPr>
          <w:color w:val="FF0000"/>
          <w:sz w:val="20"/>
        </w:rPr>
        <w:t xml:space="preserve">hoose </w:t>
      </w:r>
      <w:r w:rsidR="00A8662B">
        <w:rPr>
          <w:sz w:val="20"/>
        </w:rPr>
        <w:t>)</w:t>
      </w:r>
      <w:r>
        <w:rPr>
          <w:sz w:val="20"/>
        </w:rPr>
        <w:t>,</w:t>
      </w:r>
    </w:p>
    <w:p w14:paraId="6FA8C05E" w14:textId="02C849DD" w:rsidR="00E324E1" w:rsidRDefault="00E324E1" w:rsidP="00357359">
      <w:pPr>
        <w:pStyle w:val="ARCATSubSub1"/>
        <w:numPr>
          <w:ilvl w:val="0"/>
          <w:numId w:val="11"/>
        </w:numPr>
        <w:rPr>
          <w:sz w:val="20"/>
        </w:rPr>
      </w:pPr>
      <w:r>
        <w:rPr>
          <w:sz w:val="20"/>
        </w:rPr>
        <w:t xml:space="preserve">#412 RI Concave Reveal Insert </w:t>
      </w:r>
      <w:r w:rsidRPr="003F0619">
        <w:rPr>
          <w:color w:val="FF0000"/>
          <w:sz w:val="20"/>
        </w:rPr>
        <w:t>(Choose)</w:t>
      </w:r>
      <w:r w:rsidR="003F0619">
        <w:rPr>
          <w:sz w:val="20"/>
        </w:rPr>
        <w:t>.</w:t>
      </w:r>
    </w:p>
    <w:p w14:paraId="58C6581C" w14:textId="27A365CE" w:rsidR="003F0619" w:rsidRDefault="003F0619" w:rsidP="00357359">
      <w:pPr>
        <w:pStyle w:val="ARCATSubSub1"/>
        <w:numPr>
          <w:ilvl w:val="0"/>
          <w:numId w:val="11"/>
        </w:numPr>
        <w:rPr>
          <w:sz w:val="20"/>
        </w:rPr>
      </w:pPr>
      <w:r>
        <w:rPr>
          <w:sz w:val="20"/>
        </w:rPr>
        <w:t xml:space="preserve">High Pressure Laminate Strips Insert </w:t>
      </w:r>
      <w:r>
        <w:rPr>
          <w:color w:val="FF0000"/>
          <w:sz w:val="20"/>
        </w:rPr>
        <w:t>(Choose)</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612D023A"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7A07A4">
        <w:rPr>
          <w:sz w:val="20"/>
        </w:rPr>
        <w:t xml:space="preserve">Rounded </w:t>
      </w:r>
      <w:r w:rsidR="007A07A4"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lastRenderedPageBreak/>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15F4B5A0"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F15496">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11E3A9A8"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w:t>
      </w:r>
      <w:r w:rsidR="003F0619">
        <w:rPr>
          <w:color w:val="FF0000"/>
          <w:sz w:val="20"/>
        </w:rPr>
        <w:t>C</w:t>
      </w:r>
      <w:r>
        <w:rPr>
          <w:color w:val="FF0000"/>
          <w:sz w:val="20"/>
        </w:rPr>
        <w:t xml:space="preserve">hoose) </w:t>
      </w:r>
    </w:p>
    <w:p w14:paraId="4373D915" w14:textId="77777777" w:rsidR="001A703F" w:rsidRDefault="001A703F" w:rsidP="001A703F">
      <w:pPr>
        <w:pStyle w:val="ARCATSubPara"/>
        <w:ind w:left="975"/>
        <w:rPr>
          <w:sz w:val="20"/>
        </w:rPr>
      </w:pPr>
      <w:r>
        <w:rPr>
          <w:sz w:val="20"/>
        </w:rPr>
        <w:lastRenderedPageBreak/>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lastRenderedPageBreak/>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264B12A9"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7A07A4">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9511" w14:textId="77777777" w:rsidR="00244448" w:rsidRDefault="00244448">
      <w:r>
        <w:separator/>
      </w:r>
    </w:p>
  </w:endnote>
  <w:endnote w:type="continuationSeparator" w:id="0">
    <w:p w14:paraId="5EA04EB2" w14:textId="77777777" w:rsidR="00244448" w:rsidRDefault="0024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7FD7" w14:textId="77777777" w:rsidR="00244448" w:rsidRDefault="00244448">
      <w:r>
        <w:separator/>
      </w:r>
    </w:p>
  </w:footnote>
  <w:footnote w:type="continuationSeparator" w:id="0">
    <w:p w14:paraId="000721F1" w14:textId="77777777" w:rsidR="00244448" w:rsidRDefault="0024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77CCF"/>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448"/>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7110A"/>
    <w:rsid w:val="003918B3"/>
    <w:rsid w:val="00393EBE"/>
    <w:rsid w:val="003A0C93"/>
    <w:rsid w:val="003A2D3D"/>
    <w:rsid w:val="003C0A2D"/>
    <w:rsid w:val="003C3FB1"/>
    <w:rsid w:val="003D1DC0"/>
    <w:rsid w:val="003D36C6"/>
    <w:rsid w:val="003D5BDF"/>
    <w:rsid w:val="003D6E11"/>
    <w:rsid w:val="003E63EE"/>
    <w:rsid w:val="003F0619"/>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14EDF"/>
    <w:rsid w:val="00530CE3"/>
    <w:rsid w:val="00531440"/>
    <w:rsid w:val="00536D39"/>
    <w:rsid w:val="00555169"/>
    <w:rsid w:val="005569D0"/>
    <w:rsid w:val="0058390E"/>
    <w:rsid w:val="0059761C"/>
    <w:rsid w:val="005B1407"/>
    <w:rsid w:val="005C6F9C"/>
    <w:rsid w:val="005D5D68"/>
    <w:rsid w:val="00602AA0"/>
    <w:rsid w:val="00602DCC"/>
    <w:rsid w:val="00604E27"/>
    <w:rsid w:val="00605C5E"/>
    <w:rsid w:val="006139E5"/>
    <w:rsid w:val="00650DB8"/>
    <w:rsid w:val="00652C3A"/>
    <w:rsid w:val="006602D5"/>
    <w:rsid w:val="00660EDB"/>
    <w:rsid w:val="00661A60"/>
    <w:rsid w:val="006A315B"/>
    <w:rsid w:val="006A565A"/>
    <w:rsid w:val="006C5CD5"/>
    <w:rsid w:val="006C6AFA"/>
    <w:rsid w:val="006D2043"/>
    <w:rsid w:val="006E4D82"/>
    <w:rsid w:val="006F5DAE"/>
    <w:rsid w:val="006F6D69"/>
    <w:rsid w:val="007214EA"/>
    <w:rsid w:val="00730B98"/>
    <w:rsid w:val="00731779"/>
    <w:rsid w:val="007416C9"/>
    <w:rsid w:val="00742210"/>
    <w:rsid w:val="00763365"/>
    <w:rsid w:val="00763D38"/>
    <w:rsid w:val="00771A8D"/>
    <w:rsid w:val="00776D53"/>
    <w:rsid w:val="00777429"/>
    <w:rsid w:val="0078085B"/>
    <w:rsid w:val="007817C3"/>
    <w:rsid w:val="007A07A4"/>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743CC"/>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45D4A"/>
    <w:rsid w:val="00A52C5E"/>
    <w:rsid w:val="00A77E7B"/>
    <w:rsid w:val="00A8662B"/>
    <w:rsid w:val="00A95AF1"/>
    <w:rsid w:val="00AB3359"/>
    <w:rsid w:val="00AB6DA9"/>
    <w:rsid w:val="00AD324F"/>
    <w:rsid w:val="00AE0008"/>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07DC3"/>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20"/>
    <w:rsid w:val="00E16EAB"/>
    <w:rsid w:val="00E2162E"/>
    <w:rsid w:val="00E324E1"/>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5496"/>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7037">
      <w:bodyDiv w:val="1"/>
      <w:marLeft w:val="0"/>
      <w:marRight w:val="0"/>
      <w:marTop w:val="0"/>
      <w:marBottom w:val="0"/>
      <w:divBdr>
        <w:top w:val="none" w:sz="0" w:space="0" w:color="auto"/>
        <w:left w:val="none" w:sz="0" w:space="0" w:color="auto"/>
        <w:bottom w:val="none" w:sz="0" w:space="0" w:color="auto"/>
        <w:right w:val="none" w:sz="0" w:space="0" w:color="auto"/>
      </w:divBdr>
    </w:div>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891426651">
      <w:bodyDiv w:val="1"/>
      <w:marLeft w:val="0"/>
      <w:marRight w:val="0"/>
      <w:marTop w:val="0"/>
      <w:marBottom w:val="0"/>
      <w:divBdr>
        <w:top w:val="none" w:sz="0" w:space="0" w:color="auto"/>
        <w:left w:val="none" w:sz="0" w:space="0" w:color="auto"/>
        <w:bottom w:val="none" w:sz="0" w:space="0" w:color="auto"/>
        <w:right w:val="none" w:sz="0" w:space="0" w:color="auto"/>
      </w:divBdr>
    </w:div>
    <w:div w:id="14445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17954</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2023-01-11T18:49:00Z</dcterms:created>
  <dcterms:modified xsi:type="dcterms:W3CDTF">2023-01-11T21:07:00Z</dcterms:modified>
</cp:coreProperties>
</file>